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C" w:rsidRPr="00CC5DE0" w:rsidRDefault="003D6CFC" w:rsidP="00CC5D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итогового сочинения (изложения) по русскому языку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 по организации и проведению итогового сочинения (изложения) в 2021/2022 учебном году, направленными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от 26.10.2021 № 04-416,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и проведении итогового сочинения (изложения)», приказом 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>ГБ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ОУ «Средняя школа №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3 с.п.Сурхахи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» от 15.11.2021 № 146 «О проведении итогового сочинения и утверждении состава комиссий»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01.12.2021 было проведено итоговое сочинение по русскому языку в 11-х классах.</w:t>
      </w:r>
    </w:p>
    <w:p w:rsidR="00FC2C63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умение создавать собственное связное высказывание на заданную тему с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комиссии: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учителя русского языка и литературы.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 написании итогового сочинения (изложения) по русскому языку участвовали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обучающихся 11-х классов, что составило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от общего количества</w:t>
      </w:r>
      <w:r w:rsidR="00FC2C63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Анализ результата проверки по требованиям и критериям итогового сочинения (изложения) обучающихся 11-х классов</w:t>
      </w:r>
    </w:p>
    <w:tbl>
      <w:tblPr>
        <w:tblW w:w="9782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49"/>
        <w:gridCol w:w="2315"/>
        <w:gridCol w:w="1843"/>
        <w:gridCol w:w="1276"/>
      </w:tblGrid>
      <w:tr w:rsidR="00DB066C" w:rsidRPr="00CC5DE0" w:rsidTr="00FC2C63">
        <w:trPr>
          <w:trHeight w:val="83"/>
        </w:trPr>
        <w:tc>
          <w:tcPr>
            <w:tcW w:w="6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proofErr w:type="spellStart"/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B066C" w:rsidRPr="00CC5DE0" w:rsidTr="00FC2C63">
        <w:trPr>
          <w:trHeight w:val="101"/>
        </w:trPr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 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Требование № 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105"/>
        </w:trPr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Критерий № 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 w:rsidP="00FC2C63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Критерий № 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Критерий № 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Критерий № 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Критерий № 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DB06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DB066C">
            <w:pPr>
              <w:rPr>
                <w:sz w:val="24"/>
                <w:szCs w:val="24"/>
              </w:rPr>
            </w:pPr>
          </w:p>
        </w:tc>
      </w:tr>
      <w:tr w:rsidR="00DB066C" w:rsidRPr="00CC5DE0" w:rsidTr="00FC2C63">
        <w:trPr>
          <w:trHeight w:val="42"/>
        </w:trPr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DB06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Незачет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FC2C63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sz w:val="24"/>
                <w:szCs w:val="24"/>
                <w:lang w:val="ru-RU"/>
              </w:rPr>
              <w:t>100</w:t>
            </w:r>
          </w:p>
        </w:tc>
      </w:tr>
    </w:tbl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Данные таблицы 1 наглядно представлены в диаграмме 1.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Диаграмма 1. Результат проверки по требованиям и критериям итогового сочинения (изложения) обучающихся 11-х классов</w:t>
      </w:r>
    </w:p>
    <w:p w:rsidR="00DB066C" w:rsidRPr="00CC5DE0" w:rsidRDefault="00DB066C">
      <w:pPr>
        <w:rPr>
          <w:sz w:val="24"/>
          <w:szCs w:val="24"/>
        </w:rPr>
      </w:pPr>
    </w:p>
    <w:p w:rsidR="00FC2C63" w:rsidRPr="00CC5DE0" w:rsidRDefault="00FC2C63">
      <w:pPr>
        <w:rPr>
          <w:sz w:val="24"/>
          <w:szCs w:val="24"/>
        </w:rPr>
      </w:pPr>
      <w:r w:rsidRPr="00CC5DE0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2C63" w:rsidRPr="00CC5DE0" w:rsidRDefault="00FC2C63">
      <w:pPr>
        <w:rPr>
          <w:sz w:val="24"/>
          <w:szCs w:val="24"/>
        </w:rPr>
      </w:pP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Представленные выше таблица и диаграмма позволяют увидеть, что все обучающиеся 11-х классов, которые присутствовали на испытании, получили «зачет» за работу.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Подходы к разработке формулировок тем итогового сочинения определяются задачами: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Выявить уровень речевой культуры выпускника, его начитанность, личностную зрелость и умение рассуждать на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выбранную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тему.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Проверить речевые компетенции обучающегося, умение обращаться к литературному материалу, выбирать наиболее соответствующие проблематике сочинения произведения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для раскрытия темы.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Оценить практическую грамотность выпускника и фактическую точность его письменной речи.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Исходя из задач формируются цели: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 Владение речью.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3. Содействие формированию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самосознания учащегося, развитие его речевой и читательской культуры.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Обучающимся был предложен следующий комплект тем сочинений для проведения итогового сочинения в текущем учебном году в Энском регионе.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2. Комплект тем итогового сочинения № 7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79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7"/>
        <w:gridCol w:w="6884"/>
      </w:tblGrid>
      <w:tr w:rsidR="00DB066C" w:rsidRPr="00CC5DE0" w:rsidTr="00255681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DB066C" w:rsidRPr="00CC5DE0" w:rsidTr="00255681">
        <w:trPr>
          <w:trHeight w:val="5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255681" w:rsidP="002556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56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Почему людей привлекает идея путешествия во времени?</w:t>
            </w:r>
            <w:r w:rsidRPr="00CC5DE0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B066C" w:rsidRPr="00CC5DE0" w:rsidTr="00255681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255681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255681" w:rsidP="002556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56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 xml:space="preserve">Согласны ли Вы со словами А.А. Вознесенского: «Все прогрессы </w:t>
            </w:r>
            <w:proofErr w:type="spellStart"/>
            <w:r w:rsidRPr="002556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реакционны</w:t>
            </w:r>
            <w:proofErr w:type="spellEnd"/>
            <w:r w:rsidRPr="002556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, если рушится человек»?</w:t>
            </w:r>
          </w:p>
        </w:tc>
      </w:tr>
      <w:tr w:rsidR="00DB066C" w:rsidRPr="00CC5DE0" w:rsidTr="00255681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255681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681" w:rsidRPr="00255681" w:rsidRDefault="00255681" w:rsidP="0025568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5681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Когда слово становится преступлением?</w:t>
            </w:r>
          </w:p>
          <w:p w:rsidR="00DB066C" w:rsidRPr="00CC5DE0" w:rsidRDefault="00DB066C" w:rsidP="00255681">
            <w:pPr>
              <w:shd w:val="clear" w:color="auto" w:fill="EDEEF0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</w:tr>
      <w:tr w:rsidR="00DB066C" w:rsidRPr="00CC5DE0" w:rsidTr="00255681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255681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4421E7" w:rsidP="004421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21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Произведение какого писателя (композитора, режиссёра) я бы порекомендовал своим друзьям</w:t>
            </w:r>
          </w:p>
        </w:tc>
      </w:tr>
      <w:tr w:rsidR="00DB066C" w:rsidRPr="00CC5DE0" w:rsidTr="00255681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3D6CFC">
            <w:pPr>
              <w:rPr>
                <w:sz w:val="24"/>
                <w:szCs w:val="24"/>
                <w:lang w:val="ru-RU"/>
              </w:rPr>
            </w:pPr>
            <w:r w:rsidRPr="00CC5D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66C" w:rsidRPr="00CC5DE0" w:rsidRDefault="004421E7" w:rsidP="004421E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21E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EDEEF0"/>
                <w:lang w:val="ru-RU" w:eastAsia="ru-RU"/>
              </w:rPr>
              <w:t>В чём может проявляться любовь к своему отечеству?</w:t>
            </w:r>
          </w:p>
        </w:tc>
      </w:tr>
    </w:tbl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Сочинение выбрали</w:t>
      </w:r>
      <w:r w:rsidR="00255681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Изложение не писал никто.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 2. Выбор тем итогового сочинения выпускниками 11-го класса «А»</w:t>
      </w:r>
    </w:p>
    <w:p w:rsidR="00DB066C" w:rsidRPr="00CC5DE0" w:rsidRDefault="00DB066C">
      <w:pPr>
        <w:rPr>
          <w:sz w:val="24"/>
          <w:szCs w:val="24"/>
        </w:rPr>
      </w:pPr>
    </w:p>
    <w:p w:rsidR="00255681" w:rsidRPr="00CC5DE0" w:rsidRDefault="00255681">
      <w:pPr>
        <w:rPr>
          <w:sz w:val="24"/>
          <w:szCs w:val="24"/>
        </w:rPr>
      </w:pPr>
    </w:p>
    <w:p w:rsidR="00255681" w:rsidRPr="00CC5DE0" w:rsidRDefault="00255681">
      <w:pPr>
        <w:rPr>
          <w:sz w:val="24"/>
          <w:szCs w:val="24"/>
        </w:rPr>
      </w:pPr>
      <w:r w:rsidRPr="00CC5DE0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Из диаграммы видно, что</w:t>
      </w:r>
      <w:r w:rsidR="004421E7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21E7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девять 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выбрали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тему №</w:t>
      </w:r>
      <w:r w:rsidR="004421E7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110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. Самая непопулярная тема – №</w:t>
      </w:r>
      <w:r w:rsidR="004421E7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407,505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, ее выбрали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человека.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Работы проверялись в соответствии с критериями оценивания, утвержденными Федеральной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службой по надзору в сфере образования и науки.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оценивания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итогового сочинения </w:t>
      </w:r>
      <w:proofErr w:type="gramStart"/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организациями,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реализующими</w:t>
      </w:r>
      <w:proofErr w:type="gramEnd"/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образовательные программы среднего общего образования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К проверке по критериям оценивания допускаются итоговые сочинения, соответствующие установленным требованиям.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 1. Объем итогового сочинения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Рекомендуемое количество слов – от 350.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Требование № 2. Самостоятельность написания итогового сочинения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Итоговое сочинение, соответствующее установленным требованиям, оценивается по критериям: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</w:rPr>
        <w:t>теме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</w:rPr>
        <w:t>.</w:t>
      </w:r>
      <w:r w:rsidRPr="00CC5DE0">
        <w:rPr>
          <w:sz w:val="24"/>
          <w:szCs w:val="24"/>
        </w:rPr>
        <w:br/>
      </w:r>
      <w:r w:rsidRPr="00CC5DE0">
        <w:rPr>
          <w:rFonts w:hAnsi="Times New Roman" w:cs="Times New Roman"/>
          <w:color w:val="000000"/>
          <w:sz w:val="24"/>
          <w:szCs w:val="24"/>
        </w:rPr>
        <w:t xml:space="preserve">2. Аргументация. 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Привлечение литературного материала.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3. Композиция и логика рассуждения.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4. Качество письменной речи.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</w:rPr>
        <w:t>5. Грамотность.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Критерии № 1 и № 2 являются основными.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 1. Соответствие теме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 проверку содержания сочинения.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п.).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 2. Аргументация. Привлечение литературного материала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п.) до комплексного анализа произведения в единстве формы и содержания и его интерпретации в аспекте выбранной темы.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сочинение написано без привлечения литературного материала,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 3. Композиция и логика рассуждения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«Незачет» ставится, если грубые логические нарушения мешают пониманию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сказанного или отсутствует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часть. Во всех остальных случаях выставляется «зачет».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 4. Качество письменной речи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нацеливает на проверку речевого оформления текста сочинения.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выставляется «зачет».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Критерий № 5. «Грамотность»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Данный критерий позволяет оценить грамотность выпускника.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 критерию № 1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«Соответствие теме»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Критерий №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С этой задачей справились все обучающиеся на 100 процентов.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Литературный материал используется как основа для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размышлений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сочинений по критерию 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№ 2 </w:t>
      </w:r>
      <w:r w:rsidRPr="00CC5DE0">
        <w:rPr>
          <w:sz w:val="24"/>
          <w:szCs w:val="24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Аргументация</w:t>
      </w:r>
      <w:proofErr w:type="spellEnd"/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Привлечение литературного материала»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работ показал, что все учащиеся построили свои рассуждения на основе литературного материала. Большинство из них привело в качестве доказательств не менее двух произведений.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По критерию №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 «зачет» получили 100 процентов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обучающихся 11-х классов.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 критерию № 3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«Композиция и логика рассуждения»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отличаются целостностью, стройностью композиции: вступление,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-доказательная часть, заключение тесно связаны между собой. Получили «зачет» по этому критерию 100 процентов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выпускников.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сочинений по критерию № 4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«Качество письменной речи»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Подавляющее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«Зачет» по данному критерию получили</w:t>
      </w:r>
      <w:r w:rsidR="00CC5DE0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обучающихся 11-х классов.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Наиболее частые речевые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ошибки: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неудачное словоупотребление;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употребление слов в несвойственных им значениях;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плеоназм;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тавтология;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лексическая избыточность (неоправданное усложнение фраз).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Анализ сочинений по критерию № 5</w:t>
      </w:r>
      <w:r w:rsidRPr="00CC5DE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«Грамотность»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Экспертами комиссий отмечен низкий уровень грамотности в ряде работ участников итогового сочинения.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орфографические ошибки, допущенные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учащимися: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НЕ с разными частями речи;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ошибки в написании производных союзов;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нарушение согласования и управления;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ошибки в построении предложения с однородными членами, с деепричастными и причастными оборотами;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написание усилительной частицы НИ и др.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Типичные пунктуационные ошибки, допущенные учащимися: 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Типичные грамматические ошибки, допущенные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учащимися: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нарушение согласования и управления;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ошибки в построении предложения с однородными членами, с деепричастными и причастными оборотами;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нарушение границ предложения; неоправданный пропуск подлежащего;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– объединение синтаксической связью разнотипных синтаксических единиц.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 отдельную категорию выделяются графические ошибки, то есть различные описки, вызванные невнимательностью пишущего или поспешностью написания. Например, неправильное написание, искажающее звуковой облик слова («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рапотает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» вместо «работает»,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мемля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» вместо «земля»). Эти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использование пробелов между словами, различные подчеркивания и шрифтовые выделения.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Одиночные графические ошибки не учитываются при проверке, но если таких ошибок больше пяти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на 100 слов, то работу следует признать неграмотной.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 написании тренировочного итогового сочинения (изложения) по русскому языку участвовали 36 обучающихся 11-х классов, что составило 90 процентов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от общего количества выпускников.</w:t>
      </w:r>
    </w:p>
    <w:p w:rsidR="00DB066C" w:rsidRPr="00CC5DE0" w:rsidRDefault="003D6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1. Администрации </w:t>
      </w:r>
      <w:r w:rsidR="00CC5DE0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«СОШ №3 </w:t>
      </w:r>
      <w:proofErr w:type="gramStart"/>
      <w:r w:rsidR="00CC5DE0" w:rsidRPr="00CC5DE0">
        <w:rPr>
          <w:rFonts w:hAnsi="Times New Roman" w:cs="Times New Roman"/>
          <w:color w:val="000000"/>
          <w:sz w:val="24"/>
          <w:szCs w:val="24"/>
          <w:lang w:val="ru-RU"/>
        </w:rPr>
        <w:t>с.п.Сурхахи»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работы, ориентированной на высокие результаты подготовки выпускников к ГИА.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1.2. Усилить </w:t>
      </w:r>
      <w:proofErr w:type="spell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работы по индивидуальным образовательным маршрутам выпускников с низкой мотивацией и выпускников, способных достичь максимального результата на ГИА.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1.3. Организовать методическую поддержку учителей русского языка и литературы в 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подготовке высокомотивированных выпускников.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Проанализировать на методических совещаниях причины допущенных ошибок, внести соответствующие коррективы в план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 ГИА. Срок: месяц.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1.5. Довести результаты итогового сочинения (изложения) до сведения родителей под подпись. Срок: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до 30.12.2021.</w:t>
      </w:r>
    </w:p>
    <w:p w:rsidR="00DB066C" w:rsidRPr="00CC5DE0" w:rsidRDefault="003D6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2. Учителям русского языка и </w:t>
      </w:r>
      <w:proofErr w:type="gramStart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литературы: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proofErr w:type="gramEnd"/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. Усилить контроль результативности освоения выпускниками программы, продолжить работу по индивидуальным образовательным маршрутам по подготовке к ГИА-11 по русскому языку.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2.2. Осуществлять планомерную работу по устранению пробелов в знаниях учащихся. Продолжить обучение написанию сочинений 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содержательно-концептуальной позиции, заявленной в тексте.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средств связи,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чувствовать подтекст.</w:t>
      </w:r>
      <w:r w:rsidRPr="00CC5DE0">
        <w:rPr>
          <w:rFonts w:hAnsi="Times New Roman" w:cs="Times New Roman"/>
          <w:color w:val="000000"/>
          <w:sz w:val="24"/>
          <w:szCs w:val="24"/>
        </w:rPr>
        <w:t> 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Срок: постоянно.</w:t>
      </w:r>
      <w:r w:rsidRPr="00CC5DE0">
        <w:rPr>
          <w:sz w:val="24"/>
          <w:szCs w:val="24"/>
          <w:lang w:val="ru-RU"/>
        </w:rPr>
        <w:br/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2.4.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Срок: постоянно.</w:t>
      </w:r>
    </w:p>
    <w:p w:rsidR="00DB066C" w:rsidRPr="00CC5DE0" w:rsidRDefault="00CC5D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Составила </w:t>
      </w:r>
      <w:r w:rsidR="003D6CFC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</w:t>
      </w:r>
      <w:proofErr w:type="gramEnd"/>
      <w:r w:rsidR="003D6CFC" w:rsidRPr="00CC5DE0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</w:t>
      </w:r>
      <w:r w:rsidRPr="00CC5DE0">
        <w:rPr>
          <w:rFonts w:hAnsi="Times New Roman" w:cs="Times New Roman"/>
          <w:color w:val="000000"/>
          <w:sz w:val="24"/>
          <w:szCs w:val="24"/>
          <w:lang w:val="ru-RU"/>
        </w:rPr>
        <w:t>Измайлова Л.Х.</w:t>
      </w:r>
    </w:p>
    <w:p w:rsidR="00DB066C" w:rsidRPr="00CC5DE0" w:rsidRDefault="00DB066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B066C" w:rsidRPr="00CC5DE0" w:rsidSect="00CC5DE0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4DAF"/>
    <w:rsid w:val="00255681"/>
    <w:rsid w:val="002D33B1"/>
    <w:rsid w:val="002D3591"/>
    <w:rsid w:val="003514A0"/>
    <w:rsid w:val="003D6CFC"/>
    <w:rsid w:val="004421E7"/>
    <w:rsid w:val="004E4032"/>
    <w:rsid w:val="004F7E17"/>
    <w:rsid w:val="005A05CE"/>
    <w:rsid w:val="00653AF6"/>
    <w:rsid w:val="00801662"/>
    <w:rsid w:val="00B73A5A"/>
    <w:rsid w:val="00CC5DE0"/>
    <w:rsid w:val="00DB066C"/>
    <w:rsid w:val="00E438A1"/>
    <w:rsid w:val="00F01E19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A8E6F-D37A-5042-9B42-D5DEEC8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D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7"/>
                <c:pt idx="0">
                  <c:v>Требование 1</c:v>
                </c:pt>
                <c:pt idx="1">
                  <c:v>Требование 2</c:v>
                </c:pt>
                <c:pt idx="2">
                  <c:v>Критерий 1</c:v>
                </c:pt>
                <c:pt idx="3">
                  <c:v>Критерий 2</c:v>
                </c:pt>
                <c:pt idx="4">
                  <c:v>Критерий 3</c:v>
                </c:pt>
                <c:pt idx="5">
                  <c:v>Критерий 4</c:v>
                </c:pt>
                <c:pt idx="6">
                  <c:v>Критерий 5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83391440"/>
        <c:axId val="383391832"/>
        <c:axId val="0"/>
      </c:bar3DChart>
      <c:catAx>
        <c:axId val="38339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391832"/>
        <c:crosses val="autoZero"/>
        <c:auto val="1"/>
        <c:lblAlgn val="ctr"/>
        <c:lblOffset val="100"/>
        <c:noMultiLvlLbl val="0"/>
      </c:catAx>
      <c:valAx>
        <c:axId val="38339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39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уч.ся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тема № 110</c:v>
                </c:pt>
                <c:pt idx="1">
                  <c:v>тема № 213</c:v>
                </c:pt>
                <c:pt idx="2">
                  <c:v>тема № 309</c:v>
                </c:pt>
                <c:pt idx="3">
                  <c:v>тема № 407</c:v>
                </c:pt>
                <c:pt idx="4">
                  <c:v>тема № 505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тема № 110</c:v>
                </c:pt>
                <c:pt idx="1">
                  <c:v>тема № 213</c:v>
                </c:pt>
                <c:pt idx="2">
                  <c:v>тема № 309</c:v>
                </c:pt>
                <c:pt idx="3">
                  <c:v>тема № 407</c:v>
                </c:pt>
                <c:pt idx="4">
                  <c:v>тема № 505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тема № 110</c:v>
                </c:pt>
                <c:pt idx="1">
                  <c:v>тема № 213</c:v>
                </c:pt>
                <c:pt idx="2">
                  <c:v>тема № 309</c:v>
                </c:pt>
                <c:pt idx="3">
                  <c:v>тема № 407</c:v>
                </c:pt>
                <c:pt idx="4">
                  <c:v>тема № 505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826704"/>
        <c:axId val="381827096"/>
      </c:barChart>
      <c:catAx>
        <c:axId val="38182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827096"/>
        <c:crosses val="autoZero"/>
        <c:auto val="1"/>
        <c:lblAlgn val="ctr"/>
        <c:lblOffset val="100"/>
        <c:noMultiLvlLbl val="0"/>
      </c:catAx>
      <c:valAx>
        <c:axId val="38182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82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</cp:revision>
  <cp:lastPrinted>2021-12-08T09:51:00Z</cp:lastPrinted>
  <dcterms:created xsi:type="dcterms:W3CDTF">2022-07-04T06:29:00Z</dcterms:created>
  <dcterms:modified xsi:type="dcterms:W3CDTF">2022-07-04T06:29:00Z</dcterms:modified>
</cp:coreProperties>
</file>